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13DCADF7" w:rsidR="003B1D4A" w:rsidRDefault="00473FC8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10</w:t>
      </w:r>
      <w:r w:rsidR="00C37FD0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16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2EA6BD59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</w:t>
      </w:r>
      <w:r w:rsidR="006566DD">
        <w:rPr>
          <w:rFonts w:cs="宋体"/>
          <w:b/>
          <w:bCs/>
        </w:rPr>
        <w:t xml:space="preserve">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473FC8">
        <w:rPr>
          <w:rFonts w:cs="宋体" w:hint="eastAsia"/>
          <w:b/>
          <w:bCs/>
        </w:rPr>
        <w:t>0</w:t>
      </w:r>
      <w:r w:rsidR="00473FC8">
        <w:rPr>
          <w:rFonts w:cs="宋体"/>
          <w:b/>
          <w:bCs/>
        </w:rPr>
        <w:t>24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7787"/>
      </w:tblGrid>
      <w:tr w:rsidR="003B1D4A" w:rsidRPr="007932BF" w14:paraId="50A81470" w14:textId="77777777" w:rsidTr="00BA788E">
        <w:trPr>
          <w:trHeight w:val="1981"/>
        </w:trPr>
        <w:tc>
          <w:tcPr>
            <w:tcW w:w="575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357DEEBF" w14:textId="30F62B4B" w:rsidR="00E869B5" w:rsidRPr="00080090" w:rsidRDefault="00FE7C0D" w:rsidP="008B25DD">
            <w:pPr>
              <w:ind w:firstLineChars="0" w:firstLine="0"/>
            </w:pPr>
            <w:proofErr w:type="gramStart"/>
            <w:r>
              <w:rPr>
                <w:rFonts w:hint="eastAsia"/>
              </w:rPr>
              <w:t>国投瑞银</w:t>
            </w:r>
            <w:proofErr w:type="gramEnd"/>
            <w:r>
              <w:rPr>
                <w:rFonts w:hint="eastAsia"/>
              </w:rPr>
              <w:t>基金；</w:t>
            </w:r>
            <w:r w:rsidR="00E03A78">
              <w:rPr>
                <w:rFonts w:hint="eastAsia"/>
              </w:rPr>
              <w:t>国</w:t>
            </w:r>
            <w:r w:rsidR="00473FC8">
              <w:rPr>
                <w:rFonts w:hint="eastAsia"/>
              </w:rPr>
              <w:t>信</w:t>
            </w:r>
            <w:r w:rsidR="00935E3B">
              <w:rPr>
                <w:rFonts w:hint="eastAsia"/>
              </w:rPr>
              <w:t>证券</w:t>
            </w:r>
            <w:r w:rsidR="00473FC8">
              <w:rPr>
                <w:rFonts w:hint="eastAsia"/>
              </w:rPr>
              <w:t>；国投证券</w:t>
            </w:r>
            <w:r>
              <w:rPr>
                <w:rFonts w:hint="eastAsia"/>
              </w:rPr>
              <w:t>；</w:t>
            </w:r>
            <w:r w:rsidR="00EB0C6E">
              <w:rPr>
                <w:rFonts w:hint="eastAsia"/>
              </w:rPr>
              <w:t>东证</w:t>
            </w:r>
            <w:proofErr w:type="gramStart"/>
            <w:r w:rsidR="00EB0C6E">
              <w:rPr>
                <w:rFonts w:hint="eastAsia"/>
              </w:rPr>
              <w:t>融汇</w:t>
            </w:r>
            <w:proofErr w:type="gramEnd"/>
            <w:r w:rsidR="00EB0C6E">
              <w:rPr>
                <w:rFonts w:hint="eastAsia"/>
              </w:rPr>
              <w:t>证券资产管理有限公司</w:t>
            </w:r>
            <w:r w:rsidR="003329E5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 w:rsidTr="00BA788E">
        <w:trPr>
          <w:trHeight w:val="495"/>
        </w:trPr>
        <w:tc>
          <w:tcPr>
            <w:tcW w:w="575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6C32DD5E" w14:textId="481AD383" w:rsidR="003B1D4A" w:rsidRPr="00642DC5" w:rsidRDefault="00E82484" w:rsidP="00E82484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10</w:t>
            </w:r>
            <w:r w:rsidR="008257DF" w:rsidRPr="00642DC5">
              <w:rPr>
                <w:rFonts w:hint="eastAsia"/>
              </w:rPr>
              <w:t>月</w:t>
            </w:r>
            <w:r>
              <w:t>16</w:t>
            </w:r>
            <w:r w:rsidR="00273119" w:rsidRPr="00642DC5">
              <w:t>日</w:t>
            </w:r>
          </w:p>
        </w:tc>
      </w:tr>
      <w:tr w:rsidR="003B1D4A" w14:paraId="18A18E3E" w14:textId="77777777" w:rsidTr="00BA788E">
        <w:trPr>
          <w:trHeight w:val="537"/>
        </w:trPr>
        <w:tc>
          <w:tcPr>
            <w:tcW w:w="575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4A722927" w14:textId="48313443" w:rsidR="003B1D4A" w:rsidRDefault="002107BC" w:rsidP="00E82484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49BFF728" w14:textId="40579EA6" w:rsidR="00E94CDE" w:rsidRDefault="00E94CDE" w:rsidP="00EB4D08">
            <w:pPr>
              <w:ind w:firstLineChars="0" w:firstLine="0"/>
            </w:pPr>
            <w:r>
              <w:t>董事会秘书：龚小刚</w:t>
            </w:r>
          </w:p>
        </w:tc>
      </w:tr>
      <w:tr w:rsidR="003B1D4A" w14:paraId="2DD1EB1A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01DD8DAA" w14:textId="35A7A1E2" w:rsidR="00A73B38" w:rsidRDefault="00904ADF" w:rsidP="00A73B38">
            <w:pPr>
              <w:ind w:firstLineChars="200" w:firstLine="482"/>
              <w:rPr>
                <w:rFonts w:asciiTheme="minorEastAsia" w:eastAsiaTheme="minorEastAsia" w:hAnsiTheme="minorEastAsia"/>
                <w:bCs/>
              </w:rPr>
            </w:pPr>
            <w:r w:rsidRPr="00904ADF">
              <w:rPr>
                <w:rFonts w:asciiTheme="minorEastAsia" w:eastAsiaTheme="minorEastAsia" w:hAnsiTheme="minorEastAsia"/>
                <w:b/>
                <w:bCs/>
              </w:rPr>
              <w:t>1、</w:t>
            </w:r>
            <w:r w:rsidR="00C41C31">
              <w:rPr>
                <w:rFonts w:asciiTheme="minorEastAsia" w:eastAsiaTheme="minorEastAsia" w:hAnsiTheme="minorEastAsia"/>
                <w:b/>
                <w:bCs/>
              </w:rPr>
              <w:t>公司</w:t>
            </w:r>
            <w:r w:rsidR="00EB0C6E">
              <w:rPr>
                <w:rFonts w:asciiTheme="minorEastAsia" w:eastAsiaTheme="minorEastAsia" w:hAnsiTheme="minorEastAsia" w:hint="eastAsia"/>
                <w:b/>
                <w:bCs/>
              </w:rPr>
              <w:t>汽车电子芯片业务的</w:t>
            </w:r>
            <w:r w:rsidR="002E48FD">
              <w:rPr>
                <w:rFonts w:asciiTheme="minorEastAsia" w:eastAsiaTheme="minorEastAsia" w:hAnsiTheme="minorEastAsia" w:hint="eastAsia"/>
                <w:b/>
                <w:bCs/>
              </w:rPr>
              <w:t>最新</w:t>
            </w:r>
            <w:r w:rsidR="00EB0C6E">
              <w:rPr>
                <w:rFonts w:asciiTheme="minorEastAsia" w:eastAsiaTheme="minorEastAsia" w:hAnsiTheme="minorEastAsia" w:hint="eastAsia"/>
                <w:b/>
                <w:bCs/>
              </w:rPr>
              <w:t>市场进展怎么样，该业务的驱动力和前景</w:t>
            </w:r>
            <w:r w:rsidR="00C64568">
              <w:rPr>
                <w:rFonts w:asciiTheme="minorEastAsia" w:eastAsiaTheme="minorEastAsia" w:hAnsiTheme="minorEastAsia" w:hint="eastAsia"/>
                <w:b/>
                <w:bCs/>
              </w:rPr>
              <w:t>如何</w:t>
            </w:r>
            <w:r w:rsidR="00F9613A">
              <w:rPr>
                <w:rFonts w:asciiTheme="minorEastAsia" w:eastAsiaTheme="minorEastAsia" w:hAnsiTheme="minorEastAsia" w:hint="eastAsia"/>
                <w:b/>
                <w:bCs/>
              </w:rPr>
              <w:t>，公司</w:t>
            </w:r>
            <w:r w:rsidR="002C2BE1" w:rsidRPr="002C2BE1">
              <w:rPr>
                <w:rFonts w:asciiTheme="minorEastAsia" w:eastAsiaTheme="minorEastAsia" w:hAnsiTheme="minorEastAsia" w:hint="eastAsia"/>
                <w:b/>
                <w:bCs/>
              </w:rPr>
              <w:t>汽车电子芯片业务</w:t>
            </w:r>
            <w:r w:rsidR="00F9613A">
              <w:rPr>
                <w:rFonts w:asciiTheme="minorEastAsia" w:eastAsiaTheme="minorEastAsia" w:hAnsiTheme="minorEastAsia" w:hint="eastAsia"/>
                <w:b/>
                <w:bCs/>
              </w:rPr>
              <w:t>的优势</w:t>
            </w:r>
            <w:r w:rsidR="00BA41FF">
              <w:rPr>
                <w:rFonts w:asciiTheme="minorEastAsia" w:eastAsiaTheme="minorEastAsia" w:hAnsiTheme="minorEastAsia" w:hint="eastAsia"/>
                <w:b/>
                <w:bCs/>
              </w:rPr>
              <w:t>、发展方向</w:t>
            </w:r>
            <w:r w:rsidR="00F9613A">
              <w:rPr>
                <w:rFonts w:asciiTheme="minorEastAsia" w:eastAsiaTheme="minorEastAsia" w:hAnsiTheme="minorEastAsia" w:hint="eastAsia"/>
                <w:b/>
                <w:bCs/>
              </w:rPr>
              <w:t>有哪些，请简要谈谈</w:t>
            </w:r>
            <w:r w:rsidRPr="00904ADF">
              <w:rPr>
                <w:rFonts w:asciiTheme="minorEastAsia" w:eastAsiaTheme="minorEastAsia" w:hAnsiTheme="minorEastAsia"/>
                <w:b/>
                <w:bCs/>
              </w:rPr>
              <w:t>？</w:t>
            </w:r>
          </w:p>
          <w:p w14:paraId="3249D87D" w14:textId="1D223266" w:rsidR="00632CB1" w:rsidRDefault="00D67567" w:rsidP="00214C8D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Cs/>
              </w:rPr>
              <w:t>答</w:t>
            </w:r>
            <w:r w:rsidR="00904ADF" w:rsidRPr="00A73B38">
              <w:rPr>
                <w:rFonts w:asciiTheme="minorEastAsia" w:eastAsiaTheme="minorEastAsia" w:hAnsiTheme="minorEastAsia" w:hint="eastAsia"/>
                <w:bCs/>
              </w:rPr>
              <w:t>：</w:t>
            </w:r>
            <w:bookmarkStart w:id="0" w:name="_Hlk89119871"/>
            <w:bookmarkStart w:id="1" w:name="_Hlk83766931"/>
            <w:r w:rsidR="00632CB1">
              <w:rPr>
                <w:rFonts w:hint="eastAsia"/>
              </w:rPr>
              <w:t>目前，公司汽车电子芯片已陆续进入比亚</w:t>
            </w:r>
            <w:proofErr w:type="gramStart"/>
            <w:r w:rsidR="00632CB1">
              <w:rPr>
                <w:rFonts w:hint="eastAsia"/>
              </w:rPr>
              <w:t>迪</w:t>
            </w:r>
            <w:proofErr w:type="gramEnd"/>
            <w:r w:rsidR="00632CB1">
              <w:rPr>
                <w:rFonts w:hint="eastAsia"/>
              </w:rPr>
              <w:t>、奇瑞、吉利、上汽、上汽通用、上汽通用五菱、长安、长城</w:t>
            </w:r>
            <w:bookmarkStart w:id="2" w:name="_GoBack"/>
            <w:bookmarkEnd w:id="2"/>
            <w:r w:rsidR="00632CB1">
              <w:rPr>
                <w:rFonts w:hint="eastAsia"/>
              </w:rPr>
              <w:t>、</w:t>
            </w:r>
            <w:proofErr w:type="gramStart"/>
            <w:r w:rsidR="00632CB1">
              <w:rPr>
                <w:rFonts w:hint="eastAsia"/>
              </w:rPr>
              <w:t>一</w:t>
            </w:r>
            <w:proofErr w:type="gramEnd"/>
            <w:r w:rsidR="00632CB1">
              <w:rPr>
                <w:rFonts w:hint="eastAsia"/>
              </w:rPr>
              <w:t>汽、东风、北汽、小鹏、理想、赛力斯、</w:t>
            </w:r>
            <w:proofErr w:type="gramStart"/>
            <w:r w:rsidR="00632CB1">
              <w:rPr>
                <w:rFonts w:hint="eastAsia"/>
              </w:rPr>
              <w:t>广汽等</w:t>
            </w:r>
            <w:proofErr w:type="gramEnd"/>
            <w:r w:rsidR="00632CB1">
              <w:rPr>
                <w:rFonts w:hint="eastAsia"/>
              </w:rPr>
              <w:t>众多汽车整机厂商，实现批量应用。公司</w:t>
            </w:r>
            <w:proofErr w:type="gramStart"/>
            <w:r w:rsidR="00632CB1">
              <w:rPr>
                <w:rFonts w:hint="eastAsia"/>
              </w:rPr>
              <w:t>与埃泰克</w:t>
            </w:r>
            <w:proofErr w:type="gramEnd"/>
            <w:r w:rsidR="00632CB1">
              <w:rPr>
                <w:rFonts w:hint="eastAsia"/>
              </w:rPr>
              <w:t>、经纬恒润、科</w:t>
            </w:r>
            <w:proofErr w:type="gramStart"/>
            <w:r w:rsidR="00632CB1">
              <w:rPr>
                <w:rFonts w:hint="eastAsia"/>
              </w:rPr>
              <w:t>世</w:t>
            </w:r>
            <w:proofErr w:type="gramEnd"/>
            <w:r w:rsidR="00632CB1">
              <w:rPr>
                <w:rFonts w:hint="eastAsia"/>
              </w:rPr>
              <w:t>达（上海）、弗迪科技、弗迪动力、弗迪电池、长江汽车电子、欧菲智能、易鼎丰、英创汇智、安波福、松原安全、法雷奥等国际国内Tier1模组厂商保持紧密合作，同时与</w:t>
            </w:r>
            <w:proofErr w:type="gramStart"/>
            <w:r w:rsidR="00632CB1">
              <w:rPr>
                <w:rFonts w:hint="eastAsia"/>
              </w:rPr>
              <w:t>潍</w:t>
            </w:r>
            <w:proofErr w:type="gramEnd"/>
            <w:r w:rsidR="00632CB1">
              <w:rPr>
                <w:rFonts w:hint="eastAsia"/>
              </w:rPr>
              <w:t>柴动力、奥易克斯、武汉菱电、常州易控、</w:t>
            </w:r>
            <w:proofErr w:type="gramStart"/>
            <w:r w:rsidR="00632CB1">
              <w:rPr>
                <w:rFonts w:hint="eastAsia"/>
              </w:rPr>
              <w:t>凯晟</w:t>
            </w:r>
            <w:proofErr w:type="gramEnd"/>
            <w:r w:rsidR="00632CB1">
              <w:rPr>
                <w:rFonts w:hint="eastAsia"/>
              </w:rPr>
              <w:t>动力等多家发动机及模组厂商保持业务协同创新与合作。公司与经纬恒润、东软</w:t>
            </w:r>
            <w:proofErr w:type="gramStart"/>
            <w:r w:rsidR="00632CB1">
              <w:rPr>
                <w:rFonts w:hint="eastAsia"/>
              </w:rPr>
              <w:t>睿</w:t>
            </w:r>
            <w:proofErr w:type="gramEnd"/>
            <w:r w:rsidR="00632CB1">
              <w:rPr>
                <w:rFonts w:hint="eastAsia"/>
              </w:rPr>
              <w:t xml:space="preserve">驰、普华软件等携手正式推出完整的 Classic Platform </w:t>
            </w:r>
            <w:r w:rsidR="00632CB1">
              <w:rPr>
                <w:rFonts w:hint="eastAsia"/>
              </w:rPr>
              <w:lastRenderedPageBreak/>
              <w:t>(CP) AUTOSAR 解决方案，加速助推“中国芯+中国软件”车用底层解决方案应用落地，获得了市场的认可和良好的业界口碑</w:t>
            </w:r>
            <w:r w:rsidR="00632CB1">
              <w:rPr>
                <w:rFonts w:asciiTheme="minorEastAsia" w:eastAsiaTheme="minorEastAsia" w:hAnsiTheme="minorEastAsia" w:hint="eastAsia"/>
              </w:rPr>
              <w:t>。</w:t>
            </w:r>
            <w:r w:rsidR="00214C8D" w:rsidRPr="00214C8D">
              <w:rPr>
                <w:rFonts w:asciiTheme="minorEastAsia" w:eastAsiaTheme="minorEastAsia" w:hAnsiTheme="minorEastAsia" w:hint="eastAsia"/>
              </w:rPr>
              <w:t>截至</w:t>
            </w:r>
            <w:r w:rsidR="00214C8D" w:rsidRPr="00214C8D">
              <w:rPr>
                <w:rFonts w:asciiTheme="minorEastAsia" w:eastAsiaTheme="minorEastAsia" w:hAnsiTheme="minorEastAsia"/>
              </w:rPr>
              <w:t>2025年6月30日，公司汽车电子芯片已累计出货超过1700万颗。</w:t>
            </w:r>
            <w:r w:rsidR="00632CB1">
              <w:rPr>
                <w:rFonts w:hint="eastAsia"/>
              </w:rPr>
              <w:t>2</w:t>
            </w:r>
            <w:r w:rsidR="00632CB1">
              <w:t>025年上半年公司实现</w:t>
            </w:r>
            <w:r w:rsidR="00632CB1">
              <w:rPr>
                <w:rFonts w:hint="eastAsia"/>
              </w:rPr>
              <w:t>汽车电子芯片业务收入4,9</w:t>
            </w:r>
            <w:r w:rsidR="00632CB1">
              <w:t>15</w:t>
            </w:r>
            <w:r w:rsidR="00632CB1">
              <w:rPr>
                <w:rFonts w:hint="eastAsia"/>
              </w:rPr>
              <w:t>.3</w:t>
            </w:r>
            <w:r w:rsidR="00632CB1">
              <w:t>6</w:t>
            </w:r>
            <w:r w:rsidR="00632CB1">
              <w:rPr>
                <w:rFonts w:hint="eastAsia"/>
              </w:rPr>
              <w:t>万元，同比增长63.81%</w:t>
            </w:r>
            <w:r w:rsidR="00632CB1">
              <w:rPr>
                <w:rFonts w:asciiTheme="minorEastAsia" w:eastAsiaTheme="minorEastAsia" w:hAnsiTheme="minorEastAsia" w:hint="eastAsia"/>
              </w:rPr>
              <w:t>。</w:t>
            </w:r>
            <w:r w:rsidR="002E48FD">
              <w:rPr>
                <w:rFonts w:asciiTheme="minorEastAsia" w:eastAsiaTheme="minorEastAsia" w:hAnsiTheme="minorEastAsia" w:hint="eastAsia"/>
              </w:rPr>
              <w:t>三季度以来，</w:t>
            </w:r>
            <w:r w:rsidR="002E48FD" w:rsidRPr="002E48FD">
              <w:rPr>
                <w:rFonts w:asciiTheme="minorEastAsia" w:eastAsiaTheme="minorEastAsia" w:hAnsiTheme="minorEastAsia" w:hint="eastAsia"/>
              </w:rPr>
              <w:t>公司持续推进汽车电子芯片产品的定点应用开发和量产</w:t>
            </w:r>
            <w:r w:rsidR="002E48FD">
              <w:rPr>
                <w:rFonts w:asciiTheme="minorEastAsia" w:eastAsiaTheme="minorEastAsia" w:hAnsiTheme="minorEastAsia" w:hint="eastAsia"/>
              </w:rPr>
              <w:t>，</w:t>
            </w:r>
            <w:r w:rsidR="002E48FD" w:rsidRPr="002E48FD">
              <w:rPr>
                <w:rFonts w:asciiTheme="minorEastAsia" w:eastAsiaTheme="minorEastAsia" w:hAnsiTheme="minorEastAsia" w:hint="eastAsia"/>
              </w:rPr>
              <w:t>目前公司汽车电子芯片项目的应用开发验证工作</w:t>
            </w:r>
            <w:r w:rsidR="00B31882">
              <w:rPr>
                <w:rFonts w:asciiTheme="minorEastAsia" w:eastAsiaTheme="minorEastAsia" w:hAnsiTheme="minorEastAsia" w:hint="eastAsia"/>
              </w:rPr>
              <w:t>和量产供货</w:t>
            </w:r>
            <w:r w:rsidR="002E48FD" w:rsidRPr="002E48FD">
              <w:rPr>
                <w:rFonts w:asciiTheme="minorEastAsia" w:eastAsiaTheme="minorEastAsia" w:hAnsiTheme="minorEastAsia" w:hint="eastAsia"/>
              </w:rPr>
              <w:t>在紧锣密鼓推进</w:t>
            </w:r>
            <w:r w:rsidR="002E48FD">
              <w:rPr>
                <w:rFonts w:asciiTheme="minorEastAsia" w:eastAsiaTheme="minorEastAsia" w:hAnsiTheme="minorEastAsia" w:hint="eastAsia"/>
              </w:rPr>
              <w:t>。</w:t>
            </w:r>
          </w:p>
          <w:p w14:paraId="637ADE82" w14:textId="43F429FA" w:rsidR="00632CB1" w:rsidRDefault="002E48FD" w:rsidP="00632CB1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2E48FD">
              <w:rPr>
                <w:rFonts w:hint="eastAsia"/>
              </w:rPr>
              <w:t>目前，汽车电子芯片国产替代的整体趋势未发生变化，汽车产业向电动化、智能化和网联化的转变愈发强烈，未来新能源车对于芯片的需要会更加旺盛，从而推动了汽车电子芯片更多的国产化应用，公司积极顺利这一趋势，积极深耕汽车电子</w:t>
            </w:r>
            <w:r w:rsidRPr="002E48FD">
              <w:t>MCU芯片、汽车电子数模混合芯片和DSP芯片业务。</w:t>
            </w:r>
            <w:r w:rsidR="00632CB1">
              <w:rPr>
                <w:rFonts w:hint="eastAsia"/>
              </w:rPr>
              <w:t>在实现汽车</w:t>
            </w:r>
            <w:proofErr w:type="gramStart"/>
            <w:r w:rsidR="00632CB1">
              <w:rPr>
                <w:rFonts w:hint="eastAsia"/>
              </w:rPr>
              <w:t>域控制</w:t>
            </w:r>
            <w:proofErr w:type="gramEnd"/>
            <w:r w:rsidR="00632CB1">
              <w:rPr>
                <w:rFonts w:hint="eastAsia"/>
              </w:rPr>
              <w:t>芯片、辅助驾驶处理芯片、主动降噪专用DSP芯片、动力总成控制芯片、新能源电池管理芯片、线控底盘芯片、车身和网关控制芯片、车联网安全芯片、仪表及小节点控制芯片、安全气囊芯片、数模混合信号类芯片和智能传感芯片等12条产品线系列化布局的基础上，公司坚持“顶天立地”、“铺天盖地”战略与“MCU+”策略不动摇，继续深耕深挖技术、加高加固护城河、拓宽拓广项目资源。公司重点发展的系列化汽车电子芯片产品逐步规模化上车应用，特别是安全气囊芯片、车身与网关芯片、车联网安全芯片、</w:t>
            </w:r>
            <w:proofErr w:type="gramStart"/>
            <w:r w:rsidR="00632CB1">
              <w:rPr>
                <w:rFonts w:hint="eastAsia"/>
              </w:rPr>
              <w:t>域控芯片</w:t>
            </w:r>
            <w:proofErr w:type="gramEnd"/>
            <w:r w:rsidR="00632CB1">
              <w:rPr>
                <w:rFonts w:hint="eastAsia"/>
              </w:rPr>
              <w:t>、DSP芯片、动力总成芯片、新能源电池管理芯片、线控底盘芯片等产品线已实现规模化量产供货，在国产汽车电子芯片领域打开良好局面，特别是在比亚</w:t>
            </w:r>
            <w:proofErr w:type="gramStart"/>
            <w:r w:rsidR="00632CB1">
              <w:rPr>
                <w:rFonts w:hint="eastAsia"/>
              </w:rPr>
              <w:t>迪</w:t>
            </w:r>
            <w:proofErr w:type="gramEnd"/>
            <w:r w:rsidR="00632CB1">
              <w:rPr>
                <w:rFonts w:hint="eastAsia"/>
              </w:rPr>
              <w:t>、奇瑞等</w:t>
            </w:r>
            <w:proofErr w:type="gramStart"/>
            <w:r w:rsidR="00632CB1">
              <w:rPr>
                <w:rFonts w:hint="eastAsia"/>
              </w:rPr>
              <w:t>头部车企大</w:t>
            </w:r>
            <w:proofErr w:type="gramEnd"/>
            <w:r w:rsidR="00632CB1">
              <w:rPr>
                <w:rFonts w:hint="eastAsia"/>
              </w:rPr>
              <w:t>客户中取得较为重要的进展</w:t>
            </w:r>
            <w:r w:rsidR="00632CB1">
              <w:rPr>
                <w:rFonts w:asciiTheme="minorEastAsia" w:eastAsiaTheme="minorEastAsia" w:hAnsiTheme="minorEastAsia" w:hint="eastAsia"/>
              </w:rPr>
              <w:t>，未来</w:t>
            </w:r>
            <w:r w:rsidR="00214C8D">
              <w:rPr>
                <w:rFonts w:asciiTheme="minorEastAsia" w:eastAsiaTheme="minorEastAsia" w:hAnsiTheme="minorEastAsia" w:hint="eastAsia"/>
              </w:rPr>
              <w:t>有望实现更多</w:t>
            </w:r>
            <w:r w:rsidR="00BA41FF">
              <w:rPr>
                <w:rFonts w:asciiTheme="minorEastAsia" w:eastAsiaTheme="minorEastAsia" w:hAnsiTheme="minorEastAsia" w:hint="eastAsia"/>
              </w:rPr>
              <w:t>中高端汽车电子芯片</w:t>
            </w:r>
            <w:r w:rsidR="00214C8D">
              <w:rPr>
                <w:rFonts w:asciiTheme="minorEastAsia" w:eastAsiaTheme="minorEastAsia" w:hAnsiTheme="minorEastAsia" w:hint="eastAsia"/>
              </w:rPr>
              <w:t>产品在更多客户量产供货</w:t>
            </w:r>
            <w:r w:rsidR="00632CB1">
              <w:rPr>
                <w:rFonts w:asciiTheme="minorEastAsia" w:eastAsiaTheme="minorEastAsia" w:hAnsiTheme="minorEastAsia" w:hint="eastAsia"/>
              </w:rPr>
              <w:t>。</w:t>
            </w:r>
          </w:p>
          <w:p w14:paraId="11B465FE" w14:textId="77777777" w:rsidR="00632CB1" w:rsidRDefault="00632CB1" w:rsidP="00632CB1">
            <w:pPr>
              <w:adjustRightInd w:val="0"/>
              <w:snapToGrid w:val="0"/>
              <w:ind w:firstLineChars="200" w:firstLine="480"/>
              <w:outlineLvl w:val="2"/>
              <w:rPr>
                <w:bCs/>
              </w:rPr>
            </w:pPr>
            <w:r>
              <w:rPr>
                <w:rFonts w:hint="eastAsia"/>
                <w:bCs/>
              </w:rPr>
              <w:t>随着新能源汽车智能化进程加快，传统</w:t>
            </w:r>
            <w:r>
              <w:rPr>
                <w:bCs/>
              </w:rPr>
              <w:t>12V低压系统已难以满足新一代智能功能的功率需求。48V系统以其更高的功率承载、更优的能效表现和更强的功能安全保障，成为汽车电气架构升级的关键路径</w:t>
            </w:r>
            <w:r>
              <w:rPr>
                <w:rFonts w:hint="eastAsia"/>
                <w:bCs/>
              </w:rPr>
              <w:t>。公司积极应对这一发展趋势，尝试构建4</w:t>
            </w:r>
            <w:r>
              <w:rPr>
                <w:bCs/>
              </w:rPr>
              <w:t>8</w:t>
            </w:r>
            <w:r>
              <w:rPr>
                <w:rFonts w:hint="eastAsia"/>
                <w:bCs/>
              </w:rPr>
              <w:t>V混合信号芯片设计平台，</w:t>
            </w:r>
            <w:r>
              <w:rPr>
                <w:bCs/>
              </w:rPr>
              <w:t>CCL1800B是面向48V架构的首</w:t>
            </w:r>
            <w:proofErr w:type="gramStart"/>
            <w:r>
              <w:rPr>
                <w:bCs/>
              </w:rPr>
              <w:t>款安全</w:t>
            </w:r>
            <w:proofErr w:type="gramEnd"/>
            <w:r>
              <w:rPr>
                <w:bCs/>
              </w:rPr>
              <w:t>气囊点火芯片</w:t>
            </w:r>
            <w:r>
              <w:rPr>
                <w:rFonts w:hint="eastAsia"/>
                <w:bCs/>
              </w:rPr>
              <w:t>，实现业界首发，作为 48V 安全气囊点火芯片填补了这一领域的空白，</w:t>
            </w:r>
            <w:r>
              <w:rPr>
                <w:bCs/>
              </w:rPr>
              <w:t>实现了</w:t>
            </w:r>
            <w:r>
              <w:rPr>
                <w:rFonts w:hint="eastAsia"/>
                <w:bCs/>
              </w:rPr>
              <w:t>新能源汽车安全气囊点火应用电子电气系统架构领域</w:t>
            </w:r>
            <w:r>
              <w:rPr>
                <w:bCs/>
              </w:rPr>
              <w:t>的</w:t>
            </w:r>
            <w:r>
              <w:rPr>
                <w:rFonts w:hint="eastAsia"/>
                <w:bCs/>
              </w:rPr>
              <w:t>创新与</w:t>
            </w:r>
            <w:r>
              <w:rPr>
                <w:bCs/>
              </w:rPr>
              <w:t>突破</w:t>
            </w:r>
            <w:r>
              <w:rPr>
                <w:rFonts w:hint="eastAsia"/>
                <w:bCs/>
              </w:rPr>
              <w:t>。以该芯片为基础，公司搭建</w:t>
            </w:r>
            <w:r>
              <w:rPr>
                <w:bCs/>
              </w:rPr>
              <w:t>48V混</w:t>
            </w:r>
            <w:r>
              <w:rPr>
                <w:bCs/>
              </w:rPr>
              <w:lastRenderedPageBreak/>
              <w:t>合信号芯片设计平台，</w:t>
            </w:r>
            <w:r>
              <w:rPr>
                <w:rFonts w:hint="eastAsia"/>
                <w:bCs/>
              </w:rPr>
              <w:t>平台化布局初步成型并</w:t>
            </w:r>
            <w:r>
              <w:rPr>
                <w:bCs/>
              </w:rPr>
              <w:t>支撑后续多应用领域扩展</w:t>
            </w:r>
            <w:r>
              <w:rPr>
                <w:rFonts w:hint="eastAsia"/>
                <w:bCs/>
              </w:rPr>
              <w:t>。</w:t>
            </w:r>
          </w:p>
          <w:p w14:paraId="4187F314" w14:textId="00D936A6" w:rsidR="00CE20D8" w:rsidRDefault="00CE20D8" w:rsidP="00632CB1">
            <w:pPr>
              <w:ind w:firstLineChars="200" w:firstLine="480"/>
            </w:pPr>
            <w:r w:rsidRPr="00CE20D8">
              <w:rPr>
                <w:rFonts w:hint="eastAsia"/>
                <w:bCs/>
              </w:rPr>
              <w:t>公司汽车电子芯片积极拥抱RISC-V+AI，</w:t>
            </w:r>
            <w:proofErr w:type="gramStart"/>
            <w:r w:rsidRPr="00CE20D8">
              <w:rPr>
                <w:rFonts w:hint="eastAsia"/>
                <w:bCs/>
              </w:rPr>
              <w:t>国芯科技</w:t>
            </w:r>
            <w:proofErr w:type="gramEnd"/>
            <w:r w:rsidRPr="00CE20D8">
              <w:rPr>
                <w:rFonts w:hint="eastAsia"/>
                <w:bCs/>
              </w:rPr>
              <w:t>高性能汽车</w:t>
            </w:r>
            <w:proofErr w:type="gramStart"/>
            <w:r w:rsidRPr="00CE20D8">
              <w:rPr>
                <w:rFonts w:hint="eastAsia"/>
                <w:bCs/>
              </w:rPr>
              <w:t>智能域控</w:t>
            </w:r>
            <w:proofErr w:type="gramEnd"/>
            <w:r w:rsidRPr="00CE20D8">
              <w:rPr>
                <w:rFonts w:hint="eastAsia"/>
                <w:bCs/>
              </w:rPr>
              <w:t>AI MCU芯片</w:t>
            </w:r>
            <w:r>
              <w:t>CCFC3009PT</w:t>
            </w:r>
            <w:r w:rsidRPr="00CE20D8">
              <w:rPr>
                <w:rFonts w:hint="eastAsia"/>
                <w:bCs/>
              </w:rPr>
              <w:t>完成设计进入流片试制阶段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  <w:r>
              <w:t>作为</w:t>
            </w:r>
            <w:proofErr w:type="gramStart"/>
            <w:r>
              <w:t>国芯科技</w:t>
            </w:r>
            <w:proofErr w:type="gramEnd"/>
            <w:r>
              <w:t>深耕汽车电子领域多年的标志性成果，CCFC3009PT采用RISC-V架构6+6核设计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算力超过</w:t>
            </w:r>
            <w:proofErr w:type="gramEnd"/>
            <w:r>
              <w:rPr>
                <w:rFonts w:hint="eastAsia"/>
              </w:rPr>
              <w:t>10000DMIPS（6个</w:t>
            </w:r>
            <w:proofErr w:type="gramStart"/>
            <w:r>
              <w:rPr>
                <w:rFonts w:hint="eastAsia"/>
              </w:rPr>
              <w:t>运算主核</w:t>
            </w:r>
            <w:proofErr w:type="gramEnd"/>
            <w:r>
              <w:rPr>
                <w:rFonts w:hint="eastAsia"/>
              </w:rPr>
              <w:t>+6个锁步核，也可以根据用户需要解耦</w:t>
            </w:r>
            <w:proofErr w:type="gramStart"/>
            <w:r>
              <w:rPr>
                <w:rFonts w:hint="eastAsia"/>
              </w:rPr>
              <w:t>配置主核与</w:t>
            </w:r>
            <w:proofErr w:type="gramEnd"/>
            <w:r>
              <w:rPr>
                <w:rFonts w:hint="eastAsia"/>
              </w:rPr>
              <w:t>锁步核数量）</w:t>
            </w:r>
            <w:r>
              <w:t>，集成专用NPU单元，完全依照汽车</w:t>
            </w:r>
            <w:proofErr w:type="gramStart"/>
            <w:r>
              <w:t>智能域控场景</w:t>
            </w:r>
            <w:proofErr w:type="gramEnd"/>
            <w:r>
              <w:t>的需求量身打造。在工艺层面，该芯片创新性地采用22nm RRAM存储技术，相较于传统存储方案，该工艺技术实现了存储密度、读写速度与功耗控制的三重优化；同时针对</w:t>
            </w:r>
            <w:r>
              <w:rPr>
                <w:rFonts w:hint="eastAsia"/>
              </w:rPr>
              <w:t>动力</w:t>
            </w:r>
            <w:proofErr w:type="gramStart"/>
            <w:r>
              <w:rPr>
                <w:rFonts w:hint="eastAsia"/>
              </w:rPr>
              <w:t>域</w:t>
            </w:r>
            <w:r>
              <w:t>控制</w:t>
            </w:r>
            <w:proofErr w:type="gramEnd"/>
            <w:r>
              <w:t>场景</w:t>
            </w:r>
            <w:r>
              <w:rPr>
                <w:rFonts w:hint="eastAsia"/>
              </w:rPr>
              <w:t>系统架构</w:t>
            </w:r>
            <w:r>
              <w:t>完成算法执行效率升级，能够充分适配</w:t>
            </w:r>
            <w:r>
              <w:rPr>
                <w:rFonts w:hint="eastAsia"/>
              </w:rPr>
              <w:t>集成化多模动力域控、</w:t>
            </w:r>
            <w:r>
              <w:t>智能底盘、</w:t>
            </w:r>
            <w:proofErr w:type="gramStart"/>
            <w:r>
              <w:t>域控中枢</w:t>
            </w:r>
            <w:proofErr w:type="gramEnd"/>
            <w:r>
              <w:t>等核心场景的高性能</w:t>
            </w:r>
            <w:r>
              <w:rPr>
                <w:rFonts w:hint="eastAsia"/>
              </w:rPr>
              <w:t>与智能化</w:t>
            </w:r>
            <w:r>
              <w:t>运行需求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  <w:r>
              <w:t>AI能力的深度植入，是这款芯片的核心</w:t>
            </w:r>
            <w:r>
              <w:rPr>
                <w:rFonts w:hint="eastAsia"/>
              </w:rPr>
              <w:t>亮点所在</w:t>
            </w:r>
            <w:r>
              <w:t>。该芯片内部搭载独立NPU子系统，</w:t>
            </w:r>
            <w:r>
              <w:rPr>
                <w:rFonts w:hint="eastAsia"/>
              </w:rPr>
              <w:t>可以将虚拟传感器、模型预测</w:t>
            </w:r>
            <w:r>
              <w:t>通过“硬件加速+工具链适配”的深度整合方案，让开发者可直接沿用成熟</w:t>
            </w:r>
            <w:proofErr w:type="gramStart"/>
            <w:r>
              <w:t>的端侧</w:t>
            </w:r>
            <w:proofErr w:type="gramEnd"/>
            <w:r>
              <w:t>AI开发逻辑开展应用设计，大幅降低了车载AI 功能的开发门槛。更值得关注的是，</w:t>
            </w:r>
            <w:r>
              <w:rPr>
                <w:rFonts w:hint="eastAsia"/>
              </w:rPr>
              <w:t>在C</w:t>
            </w:r>
            <w:r>
              <w:t>CFC3009PT</w:t>
            </w:r>
            <w:r>
              <w:rPr>
                <w:rFonts w:hint="eastAsia"/>
              </w:rPr>
              <w:t>的设计中，</w:t>
            </w:r>
            <w:proofErr w:type="gramStart"/>
            <w:r>
              <w:rPr>
                <w:rFonts w:hint="eastAsia"/>
              </w:rPr>
              <w:t>国芯科技</w:t>
            </w:r>
            <w:proofErr w:type="gramEnd"/>
            <w:r>
              <w:rPr>
                <w:rFonts w:hint="eastAsia"/>
              </w:rPr>
              <w:t>将</w:t>
            </w:r>
            <w:r>
              <w:t>NPU单元与RRAM工艺创新结合，</w:t>
            </w:r>
            <w:r>
              <w:rPr>
                <w:rFonts w:hint="eastAsia"/>
              </w:rPr>
              <w:t>在此基础上将进一步</w:t>
            </w:r>
            <w:proofErr w:type="gramStart"/>
            <w:r>
              <w:rPr>
                <w:rFonts w:hint="eastAsia"/>
              </w:rPr>
              <w:t>探索</w:t>
            </w:r>
            <w:r>
              <w:t>存算一体</w:t>
            </w:r>
            <w:proofErr w:type="gramEnd"/>
            <w:r>
              <w:t>等前沿技术，</w:t>
            </w:r>
            <w:r>
              <w:rPr>
                <w:rFonts w:hint="eastAsia"/>
              </w:rPr>
              <w:t>可</w:t>
            </w:r>
            <w:r>
              <w:t>为未来更高阶的车载AI任务落地储备关键技术</w:t>
            </w:r>
            <w:r w:rsidRPr="00CE20D8">
              <w:rPr>
                <w:rFonts w:hint="eastAsia"/>
              </w:rPr>
              <w:t>，是</w:t>
            </w:r>
            <w:r w:rsidRPr="00CE20D8">
              <w:t>国产汽车电子</w:t>
            </w:r>
            <w:r w:rsidRPr="00CE20D8">
              <w:rPr>
                <w:rFonts w:hint="eastAsia"/>
              </w:rPr>
              <w:t>MCU</w:t>
            </w:r>
            <w:r w:rsidRPr="00CE20D8">
              <w:t>芯片往高端化</w:t>
            </w:r>
            <w:r w:rsidRPr="00CE20D8">
              <w:rPr>
                <w:rFonts w:hint="eastAsia"/>
              </w:rPr>
              <w:t>、智能化</w:t>
            </w:r>
            <w:r w:rsidRPr="00CE20D8">
              <w:t>方向发展</w:t>
            </w:r>
            <w:r w:rsidRPr="00CE20D8">
              <w:rPr>
                <w:rFonts w:hint="eastAsia"/>
              </w:rPr>
              <w:t>的跨越。</w:t>
            </w:r>
          </w:p>
          <w:p w14:paraId="0C433688" w14:textId="22DEF41D" w:rsidR="00CE20D8" w:rsidRDefault="00B31882" w:rsidP="003E4875">
            <w:pPr>
              <w:adjustRightInd w:val="0"/>
              <w:snapToGrid w:val="0"/>
              <w:ind w:firstLineChars="200" w:firstLine="480"/>
              <w:rPr>
                <w:bCs/>
                <w:sz w:val="21"/>
                <w:szCs w:val="21"/>
              </w:rPr>
            </w:pPr>
            <w:r>
              <w:rPr>
                <w:rFonts w:hint="eastAsia"/>
              </w:rPr>
              <w:t>同时，</w:t>
            </w:r>
            <w:r w:rsidR="00CE20D8">
              <w:rPr>
                <w:rFonts w:hint="eastAsia"/>
              </w:rPr>
              <w:t>公司始终以技术</w:t>
            </w:r>
            <w:r w:rsidR="00BA41FF">
              <w:rPr>
                <w:rFonts w:hint="eastAsia"/>
              </w:rPr>
              <w:t>与</w:t>
            </w:r>
            <w:r w:rsidR="00CE20D8">
              <w:rPr>
                <w:rFonts w:hint="eastAsia"/>
              </w:rPr>
              <w:t>产品为根基</w:t>
            </w:r>
            <w:r w:rsidR="00BA41FF">
              <w:t>，</w:t>
            </w:r>
            <w:r w:rsidR="00CE20D8">
              <w:rPr>
                <w:rFonts w:hint="eastAsia"/>
              </w:rPr>
              <w:t>狠抓</w:t>
            </w:r>
            <w:r>
              <w:rPr>
                <w:rFonts w:hint="eastAsia"/>
              </w:rPr>
              <w:t>汽车电子芯片</w:t>
            </w:r>
            <w:r w:rsidR="00BA41FF">
              <w:rPr>
                <w:rFonts w:hint="eastAsia"/>
              </w:rPr>
              <w:t>产品</w:t>
            </w:r>
            <w:r w:rsidR="00CE20D8">
              <w:rPr>
                <w:rFonts w:hint="eastAsia"/>
              </w:rPr>
              <w:t>质量，以市场为抓手</w:t>
            </w:r>
            <w:r w:rsidR="00BA41FF">
              <w:rPr>
                <w:rFonts w:hint="eastAsia"/>
              </w:rPr>
              <w:t>与导向</w:t>
            </w:r>
            <w:r w:rsidR="00CE20D8">
              <w:rPr>
                <w:rFonts w:hint="eastAsia"/>
              </w:rPr>
              <w:t>，持续</w:t>
            </w:r>
            <w:r w:rsidR="002E48FD">
              <w:rPr>
                <w:rFonts w:hint="eastAsia"/>
              </w:rPr>
              <w:t>加强</w:t>
            </w:r>
            <w:r w:rsidR="00CE20D8">
              <w:rPr>
                <w:rFonts w:hint="eastAsia"/>
              </w:rPr>
              <w:t>品牌建设，公司建</w:t>
            </w:r>
            <w:r w:rsidR="002E48FD">
              <w:t>有</w:t>
            </w:r>
            <w:r w:rsidR="00CE20D8">
              <w:rPr>
                <w:rFonts w:hint="eastAsia"/>
              </w:rPr>
              <w:t>一支年富力强的汽车电子芯片技术支持服务工作团队，能够及时为客户提供全面、专业的技术支持服务，进一步促进了汽车电子芯片的应用和量产</w:t>
            </w:r>
            <w:bookmarkEnd w:id="0"/>
            <w:bookmarkEnd w:id="1"/>
            <w:r w:rsidR="00BA41FF">
              <w:rPr>
                <w:rFonts w:hint="eastAsia"/>
              </w:rPr>
              <w:t>，</w:t>
            </w:r>
            <w:r w:rsidR="00CE20D8">
              <w:rPr>
                <w:rFonts w:hint="eastAsia"/>
              </w:rPr>
              <w:t>努力保障汽车电子业务健康发展</w:t>
            </w:r>
            <w:r w:rsidR="00CE20D8"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36AA91C2" w14:textId="77777777" w:rsidR="00BA41FF" w:rsidRDefault="00BA41FF" w:rsidP="003E4875">
            <w:pPr>
              <w:adjustRightInd w:val="0"/>
              <w:snapToGrid w:val="0"/>
              <w:ind w:firstLineChars="200" w:firstLine="480"/>
              <w:rPr>
                <w:rFonts w:hint="eastAsia"/>
              </w:rPr>
            </w:pPr>
          </w:p>
          <w:p w14:paraId="1A363D14" w14:textId="46678417" w:rsidR="007A1551" w:rsidRPr="00BB412B" w:rsidRDefault="009509CD" w:rsidP="003E4875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BA788E">
        <w:trPr>
          <w:trHeight w:val="672"/>
        </w:trPr>
        <w:tc>
          <w:tcPr>
            <w:tcW w:w="575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</w:t>
            </w:r>
            <w:r>
              <w:rPr>
                <w:b/>
                <w:bCs/>
              </w:rPr>
              <w:lastRenderedPageBreak/>
              <w:t>单（如有）</w:t>
            </w:r>
          </w:p>
        </w:tc>
        <w:tc>
          <w:tcPr>
            <w:tcW w:w="4425" w:type="pct"/>
          </w:tcPr>
          <w:p w14:paraId="35FA26A4" w14:textId="77777777" w:rsidR="003B1D4A" w:rsidRDefault="003F2E6B">
            <w:pPr>
              <w:ind w:firstLineChars="0" w:firstLine="0"/>
            </w:pPr>
            <w:r>
              <w:lastRenderedPageBreak/>
              <w:t>无</w:t>
            </w:r>
          </w:p>
        </w:tc>
      </w:tr>
      <w:tr w:rsidR="003B1D4A" w14:paraId="492FBD8A" w14:textId="77777777" w:rsidTr="00BA788E">
        <w:trPr>
          <w:trHeight w:val="382"/>
        </w:trPr>
        <w:tc>
          <w:tcPr>
            <w:tcW w:w="575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790B7FB8" w14:textId="65C66BB2" w:rsidR="003B1D4A" w:rsidRDefault="0040330D" w:rsidP="0040330D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025年10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1CC67" w14:textId="77777777" w:rsidR="00E77077" w:rsidRDefault="00E77077">
      <w:pPr>
        <w:spacing w:line="240" w:lineRule="auto"/>
      </w:pPr>
      <w:r>
        <w:separator/>
      </w:r>
    </w:p>
  </w:endnote>
  <w:endnote w:type="continuationSeparator" w:id="0">
    <w:p w14:paraId="7A609985" w14:textId="77777777" w:rsidR="00E77077" w:rsidRDefault="00E77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2C234AD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D3" w:rsidRPr="00F968D3">
          <w:rPr>
            <w:noProof/>
            <w:lang w:val="zh-CN"/>
          </w:rPr>
          <w:t>4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92DB5" w14:textId="77777777" w:rsidR="00E77077" w:rsidRDefault="00E77077" w:rsidP="001B3E8E">
      <w:r>
        <w:separator/>
      </w:r>
    </w:p>
  </w:footnote>
  <w:footnote w:type="continuationSeparator" w:id="0">
    <w:p w14:paraId="008FEAA8" w14:textId="77777777" w:rsidR="00E77077" w:rsidRDefault="00E7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6566DD" w:rsidRDefault="00803419" w:rsidP="006566DD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AC27EE"/>
    <w:multiLevelType w:val="multilevel"/>
    <w:tmpl w:val="3AE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ED7BCB"/>
    <w:multiLevelType w:val="multilevel"/>
    <w:tmpl w:val="F5C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9A00E15"/>
    <w:multiLevelType w:val="multilevel"/>
    <w:tmpl w:val="00D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77D6612"/>
    <w:multiLevelType w:val="multilevel"/>
    <w:tmpl w:val="3AD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77763EA0"/>
    <w:multiLevelType w:val="multilevel"/>
    <w:tmpl w:val="74D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  <w:lvlOverride w:ilvl="0">
      <w:startOverride w:val="4"/>
    </w:lvlOverride>
  </w:num>
  <w:num w:numId="15">
    <w:abstractNumId w:val="6"/>
  </w:num>
  <w:num w:numId="16">
    <w:abstractNumId w:val="10"/>
  </w:num>
  <w:num w:numId="17">
    <w:abstractNumId w:val="11"/>
  </w:num>
  <w:num w:numId="18">
    <w:abstractNumId w:val="4"/>
  </w:num>
  <w:num w:numId="19">
    <w:abstractNumId w:val="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2CD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15F"/>
    <w:rsid w:val="001C220C"/>
    <w:rsid w:val="001C2E4E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0779"/>
    <w:rsid w:val="00201EC5"/>
    <w:rsid w:val="0020252F"/>
    <w:rsid w:val="0020261F"/>
    <w:rsid w:val="002062A3"/>
    <w:rsid w:val="002107BC"/>
    <w:rsid w:val="0021164E"/>
    <w:rsid w:val="00211DF4"/>
    <w:rsid w:val="00214C8D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91A32"/>
    <w:rsid w:val="00291D4C"/>
    <w:rsid w:val="00292F3E"/>
    <w:rsid w:val="00295634"/>
    <w:rsid w:val="00295817"/>
    <w:rsid w:val="00296139"/>
    <w:rsid w:val="00296285"/>
    <w:rsid w:val="00297A86"/>
    <w:rsid w:val="002A1AA5"/>
    <w:rsid w:val="002A2F81"/>
    <w:rsid w:val="002A7845"/>
    <w:rsid w:val="002A7E2F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596F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55AC"/>
    <w:rsid w:val="00326D0E"/>
    <w:rsid w:val="003272B2"/>
    <w:rsid w:val="003276AC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E4875"/>
    <w:rsid w:val="003E52CA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3F14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94"/>
    <w:rsid w:val="004D3C19"/>
    <w:rsid w:val="004D4449"/>
    <w:rsid w:val="004D4C91"/>
    <w:rsid w:val="004D7B2F"/>
    <w:rsid w:val="004E1938"/>
    <w:rsid w:val="004E5AF4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CA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462D7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3F32"/>
    <w:rsid w:val="005E4B65"/>
    <w:rsid w:val="005E57D6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2CB1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3106"/>
    <w:rsid w:val="006531E1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5A2D"/>
    <w:rsid w:val="006B60F4"/>
    <w:rsid w:val="006C1FB5"/>
    <w:rsid w:val="006C2AAD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57DF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0F7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417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43ABD"/>
    <w:rsid w:val="00943E34"/>
    <w:rsid w:val="0094461D"/>
    <w:rsid w:val="00944C69"/>
    <w:rsid w:val="009465C7"/>
    <w:rsid w:val="009509CD"/>
    <w:rsid w:val="0095119D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430"/>
    <w:rsid w:val="00981B35"/>
    <w:rsid w:val="00983A69"/>
    <w:rsid w:val="009870EF"/>
    <w:rsid w:val="00990AA3"/>
    <w:rsid w:val="00992F11"/>
    <w:rsid w:val="0099453F"/>
    <w:rsid w:val="009979F9"/>
    <w:rsid w:val="009A1AA9"/>
    <w:rsid w:val="009A3C5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3E"/>
    <w:rsid w:val="00AB3FAC"/>
    <w:rsid w:val="00AC0975"/>
    <w:rsid w:val="00AC3063"/>
    <w:rsid w:val="00AC623F"/>
    <w:rsid w:val="00AC6EE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48E"/>
    <w:rsid w:val="00B41AEC"/>
    <w:rsid w:val="00B43643"/>
    <w:rsid w:val="00B46FB4"/>
    <w:rsid w:val="00B50D65"/>
    <w:rsid w:val="00B521E9"/>
    <w:rsid w:val="00B52A07"/>
    <w:rsid w:val="00B561F8"/>
    <w:rsid w:val="00B56851"/>
    <w:rsid w:val="00B6022D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412B"/>
    <w:rsid w:val="00BB5D50"/>
    <w:rsid w:val="00BC143B"/>
    <w:rsid w:val="00BC4CE0"/>
    <w:rsid w:val="00BC58F3"/>
    <w:rsid w:val="00BD333E"/>
    <w:rsid w:val="00BD3D4A"/>
    <w:rsid w:val="00BD5917"/>
    <w:rsid w:val="00BD722B"/>
    <w:rsid w:val="00BE1791"/>
    <w:rsid w:val="00BE1E34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E64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20D8"/>
    <w:rsid w:val="00CE33A7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D4D"/>
    <w:rsid w:val="00D25E43"/>
    <w:rsid w:val="00D260FF"/>
    <w:rsid w:val="00D32A05"/>
    <w:rsid w:val="00D3552F"/>
    <w:rsid w:val="00D36FCB"/>
    <w:rsid w:val="00D37C1F"/>
    <w:rsid w:val="00D4169A"/>
    <w:rsid w:val="00D42BB6"/>
    <w:rsid w:val="00D42CDD"/>
    <w:rsid w:val="00D45F69"/>
    <w:rsid w:val="00D46011"/>
    <w:rsid w:val="00D468FC"/>
    <w:rsid w:val="00D51CDF"/>
    <w:rsid w:val="00D54025"/>
    <w:rsid w:val="00D55D5C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555"/>
    <w:rsid w:val="00E10BC4"/>
    <w:rsid w:val="00E136B2"/>
    <w:rsid w:val="00E14852"/>
    <w:rsid w:val="00E201F0"/>
    <w:rsid w:val="00E21D2A"/>
    <w:rsid w:val="00E21E90"/>
    <w:rsid w:val="00E24981"/>
    <w:rsid w:val="00E24C26"/>
    <w:rsid w:val="00E26FF2"/>
    <w:rsid w:val="00E270F7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BEE"/>
    <w:rsid w:val="00E81D55"/>
    <w:rsid w:val="00E82484"/>
    <w:rsid w:val="00E869B5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57004"/>
    <w:rsid w:val="00F6181C"/>
    <w:rsid w:val="00F6498C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8D3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2FF3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23A"/>
    <w:rsid w:val="00FF18F5"/>
    <w:rsid w:val="00FF2343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A3B8A3F3-B59D-4DE2-84E7-E1E9648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  <w:style w:type="paragraph" w:styleId="af2">
    <w:name w:val="Subtitle"/>
    <w:basedOn w:val="a0"/>
    <w:next w:val="a0"/>
    <w:link w:val="Char5"/>
    <w:uiPriority w:val="11"/>
    <w:qFormat/>
    <w:rsid w:val="002402A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1"/>
    <w:link w:val="af2"/>
    <w:uiPriority w:val="11"/>
    <w:rsid w:val="002402A1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3C3F-DC4A-4CE7-94C9-C2D3E1D2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368</Words>
  <Characters>2102</Characters>
  <Application>Microsoft Office Word</Application>
  <DocSecurity>0</DocSecurity>
  <Lines>17</Lines>
  <Paragraphs>4</Paragraphs>
  <ScaleCrop>false</ScaleCrop>
  <Company>應之軒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ZhengJiang</dc:creator>
  <cp:keywords/>
  <dc:description/>
  <cp:lastModifiedBy>小刚</cp:lastModifiedBy>
  <cp:revision>44</cp:revision>
  <cp:lastPrinted>2023-11-07T07:48:00Z</cp:lastPrinted>
  <dcterms:created xsi:type="dcterms:W3CDTF">2025-09-05T06:38:00Z</dcterms:created>
  <dcterms:modified xsi:type="dcterms:W3CDTF">2025-10-17T01:01:00Z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